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4A" w:rsidRPr="00AD0EF9" w:rsidRDefault="00B33AB0" w:rsidP="0073484A">
      <w:pPr>
        <w:rPr>
          <w:rFonts w:ascii="Times New Roman" w:hAnsi="Times New Roman"/>
          <w:sz w:val="20"/>
          <w:szCs w:val="20"/>
        </w:rPr>
      </w:pPr>
      <w:r w:rsidRPr="00460CC5">
        <w:rPr>
          <w:rFonts w:ascii="Times New Roman" w:hAnsi="Times New Roman"/>
        </w:rPr>
        <w:t xml:space="preserve"> </w:t>
      </w:r>
      <w:r w:rsidR="0073484A" w:rsidRPr="00AD0EF9">
        <w:rPr>
          <w:rFonts w:ascii="Times New Roman" w:hAnsi="Times New Roman"/>
          <w:sz w:val="20"/>
          <w:szCs w:val="20"/>
        </w:rPr>
        <w:t>Согласно Постановлению Правительства РФ от 21 января 2004г.№24 «Об утверждении стандартов раскрытия информации субъектами оптового и розничных рынков электрической энергии» МУП ЖКХ «КЕДР»</w:t>
      </w:r>
      <w:r w:rsidR="0073484A">
        <w:rPr>
          <w:rFonts w:ascii="Times New Roman" w:hAnsi="Times New Roman"/>
          <w:sz w:val="20"/>
          <w:szCs w:val="20"/>
        </w:rPr>
        <w:t>,</w:t>
      </w:r>
      <w:r w:rsidR="0073484A" w:rsidRPr="00AD0EF9">
        <w:rPr>
          <w:rFonts w:ascii="Times New Roman" w:hAnsi="Times New Roman"/>
          <w:sz w:val="20"/>
          <w:szCs w:val="20"/>
        </w:rPr>
        <w:t xml:space="preserve"> как сетевая организация  раскрывает информацию.</w:t>
      </w:r>
    </w:p>
    <w:p w:rsidR="0073484A" w:rsidRPr="005742CE" w:rsidRDefault="0073484A" w:rsidP="0073484A">
      <w:pPr>
        <w:rPr>
          <w:rFonts w:ascii="Times New Roman" w:hAnsi="Times New Roman"/>
          <w:b/>
          <w:sz w:val="20"/>
          <w:szCs w:val="20"/>
        </w:rPr>
      </w:pPr>
      <w:r w:rsidRPr="00460CC5">
        <w:rPr>
          <w:rFonts w:ascii="Times New Roman" w:hAnsi="Times New Roman"/>
        </w:rPr>
        <w:t xml:space="preserve">    </w:t>
      </w:r>
      <w:r w:rsidRPr="005742CE">
        <w:rPr>
          <w:rFonts w:ascii="Times New Roman" w:hAnsi="Times New Roman"/>
          <w:b/>
          <w:sz w:val="20"/>
          <w:szCs w:val="20"/>
        </w:rPr>
        <w:t xml:space="preserve">Приложение№1                            </w:t>
      </w:r>
    </w:p>
    <w:p w:rsidR="006B77B7" w:rsidRPr="006F07FB" w:rsidRDefault="0073484A" w:rsidP="006F07FB">
      <w:pPr>
        <w:jc w:val="center"/>
        <w:rPr>
          <w:rFonts w:ascii="Times New Roman" w:hAnsi="Times New Roman"/>
          <w:sz w:val="20"/>
          <w:szCs w:val="20"/>
        </w:rPr>
      </w:pPr>
      <w:r w:rsidRPr="006F07FB">
        <w:rPr>
          <w:rFonts w:ascii="Times New Roman" w:hAnsi="Times New Roman"/>
          <w:b/>
          <w:sz w:val="20"/>
          <w:szCs w:val="20"/>
        </w:rPr>
        <w:t xml:space="preserve">Показатели, подлежащие ежемесячному раскрытию в сфере электроэнергетики </w:t>
      </w:r>
      <w:r w:rsidR="006F07FB">
        <w:rPr>
          <w:rFonts w:ascii="Times New Roman" w:hAnsi="Times New Roman"/>
          <w:b/>
          <w:sz w:val="20"/>
          <w:szCs w:val="20"/>
        </w:rPr>
        <w:t xml:space="preserve"> за </w:t>
      </w:r>
      <w:r w:rsidRPr="006F07FB">
        <w:rPr>
          <w:rFonts w:ascii="Times New Roman" w:hAnsi="Times New Roman"/>
          <w:b/>
          <w:sz w:val="20"/>
          <w:szCs w:val="20"/>
        </w:rPr>
        <w:t xml:space="preserve"> </w:t>
      </w:r>
      <w:r w:rsidR="002F69EB">
        <w:rPr>
          <w:rFonts w:ascii="Times New Roman" w:hAnsi="Times New Roman"/>
          <w:b/>
          <w:sz w:val="20"/>
          <w:szCs w:val="20"/>
        </w:rPr>
        <w:t xml:space="preserve">ноябрь </w:t>
      </w:r>
      <w:r w:rsidRPr="006F07FB">
        <w:rPr>
          <w:rFonts w:ascii="Times New Roman" w:hAnsi="Times New Roman"/>
          <w:b/>
          <w:sz w:val="20"/>
          <w:szCs w:val="20"/>
        </w:rPr>
        <w:t>201</w:t>
      </w:r>
      <w:r w:rsidR="0018236E" w:rsidRPr="006F07FB">
        <w:rPr>
          <w:rFonts w:ascii="Times New Roman" w:hAnsi="Times New Roman"/>
          <w:b/>
          <w:sz w:val="20"/>
          <w:szCs w:val="20"/>
        </w:rPr>
        <w:t>9</w:t>
      </w:r>
      <w:r w:rsidRPr="006F07FB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D3410" w:rsidRPr="0073484A" w:rsidTr="0073484A">
        <w:trPr>
          <w:trHeight w:val="726"/>
        </w:trPr>
        <w:tc>
          <w:tcPr>
            <w:tcW w:w="4785" w:type="dxa"/>
          </w:tcPr>
          <w:p w:rsidR="005D3410" w:rsidRPr="0073484A" w:rsidRDefault="005D3410" w:rsidP="009047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484A">
              <w:rPr>
                <w:rFonts w:ascii="Times New Roman" w:hAnsi="Times New Roman"/>
                <w:b/>
                <w:sz w:val="16"/>
                <w:szCs w:val="16"/>
              </w:rPr>
              <w:t>Наличие трансформаторных подстанций 35кВ и выше</w:t>
            </w:r>
          </w:p>
        </w:tc>
        <w:tc>
          <w:tcPr>
            <w:tcW w:w="4786" w:type="dxa"/>
          </w:tcPr>
          <w:p w:rsidR="005D3410" w:rsidRPr="0073484A" w:rsidRDefault="005D3410" w:rsidP="009047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484A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="0073484A" w:rsidRPr="0073484A">
              <w:rPr>
                <w:rFonts w:ascii="Times New Roman" w:hAnsi="Times New Roman"/>
                <w:sz w:val="16"/>
                <w:szCs w:val="16"/>
              </w:rPr>
              <w:t>территории,</w:t>
            </w:r>
            <w:r w:rsidRPr="0073484A">
              <w:rPr>
                <w:rFonts w:ascii="Times New Roman" w:hAnsi="Times New Roman"/>
                <w:sz w:val="16"/>
                <w:szCs w:val="16"/>
              </w:rPr>
              <w:t xml:space="preserve"> ЗАТО пос. Свободный в ведении МУП ЖКХ «КЕДР» трансформаторных подстанций 35 кВ и выше отсутствуют.</w:t>
            </w:r>
          </w:p>
          <w:p w:rsidR="005D3410" w:rsidRPr="0073484A" w:rsidRDefault="005D3410" w:rsidP="009047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3410" w:rsidRPr="0073484A" w:rsidTr="0090475D">
        <w:tc>
          <w:tcPr>
            <w:tcW w:w="4785" w:type="dxa"/>
          </w:tcPr>
          <w:p w:rsidR="005D3410" w:rsidRPr="0073484A" w:rsidRDefault="005D3410" w:rsidP="009047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484A">
              <w:rPr>
                <w:rFonts w:ascii="Times New Roman" w:hAnsi="Times New Roman"/>
                <w:b/>
                <w:sz w:val="16"/>
                <w:szCs w:val="16"/>
              </w:rPr>
              <w:t>Информация о вводе в ремонт и выводе из ремонта электросетевых объектов</w:t>
            </w:r>
          </w:p>
        </w:tc>
        <w:tc>
          <w:tcPr>
            <w:tcW w:w="4786" w:type="dxa"/>
          </w:tcPr>
          <w:p w:rsidR="005D3410" w:rsidRPr="0073484A" w:rsidRDefault="006035C1" w:rsidP="002F69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484A">
              <w:rPr>
                <w:rFonts w:ascii="Times New Roman" w:hAnsi="Times New Roman"/>
                <w:sz w:val="16"/>
                <w:szCs w:val="16"/>
              </w:rPr>
              <w:t>За отчетный период электросетевые объекты МУП ЖКХ «К</w:t>
            </w:r>
            <w:r>
              <w:rPr>
                <w:rFonts w:ascii="Times New Roman" w:hAnsi="Times New Roman"/>
                <w:sz w:val="16"/>
                <w:szCs w:val="16"/>
              </w:rPr>
              <w:t>ЕДР</w:t>
            </w:r>
            <w:r w:rsidRPr="0073484A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2F69EB">
              <w:rPr>
                <w:rFonts w:ascii="Times New Roman" w:hAnsi="Times New Roman"/>
                <w:sz w:val="16"/>
                <w:szCs w:val="16"/>
              </w:rPr>
              <w:t xml:space="preserve"> ремонт не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ыводились </w:t>
            </w:r>
          </w:p>
        </w:tc>
      </w:tr>
      <w:tr w:rsidR="009D2977" w:rsidRPr="0073484A" w:rsidTr="0090475D">
        <w:tc>
          <w:tcPr>
            <w:tcW w:w="4785" w:type="dxa"/>
          </w:tcPr>
          <w:p w:rsidR="009D2977" w:rsidRPr="0073484A" w:rsidRDefault="009D2977" w:rsidP="009047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484A">
              <w:rPr>
                <w:rFonts w:ascii="Times New Roman" w:hAnsi="Times New Roman"/>
                <w:b/>
                <w:sz w:val="16"/>
                <w:szCs w:val="16"/>
              </w:rPr>
              <w:t>О паспортах услуг (процессов) согласно единым стандартам качества обслуживания сетевыми организациями потребителей услуг сетевой организации.</w:t>
            </w:r>
          </w:p>
        </w:tc>
        <w:tc>
          <w:tcPr>
            <w:tcW w:w="4786" w:type="dxa"/>
          </w:tcPr>
          <w:p w:rsidR="009D2977" w:rsidRPr="0073484A" w:rsidRDefault="009D2977" w:rsidP="009047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484A">
              <w:rPr>
                <w:rFonts w:ascii="Times New Roman" w:hAnsi="Times New Roman"/>
                <w:sz w:val="16"/>
                <w:szCs w:val="16"/>
              </w:rPr>
              <w:t>Паспорта услуг выложены на сайте МУП ЖКХ «КЕДР»</w:t>
            </w:r>
            <w:r w:rsidR="002C48F3" w:rsidRPr="0073484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80AA0">
              <w:rPr>
                <w:rFonts w:ascii="Times New Roman" w:hAnsi="Times New Roman"/>
                <w:sz w:val="16"/>
                <w:szCs w:val="16"/>
              </w:rPr>
              <w:t>(</w:t>
            </w:r>
            <w:r w:rsidR="00B80AA0" w:rsidRPr="00B80AA0">
              <w:rPr>
                <w:rFonts w:ascii="Times New Roman" w:hAnsi="Times New Roman"/>
                <w:sz w:val="16"/>
                <w:szCs w:val="16"/>
              </w:rPr>
              <w:t>http://жкх-кедр</w:t>
            </w:r>
            <w:proofErr w:type="gramStart"/>
            <w:r w:rsidR="00B80AA0" w:rsidRPr="00B80AA0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="00B80AA0" w:rsidRPr="00B80AA0">
              <w:rPr>
                <w:rFonts w:ascii="Times New Roman" w:hAnsi="Times New Roman"/>
                <w:sz w:val="16"/>
                <w:szCs w:val="16"/>
              </w:rPr>
              <w:t>ф/o-kompanii/otchetnost/</w:t>
            </w:r>
            <w:r w:rsidR="00B80AA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D2977" w:rsidRPr="0073484A" w:rsidTr="0090475D">
        <w:tc>
          <w:tcPr>
            <w:tcW w:w="4785" w:type="dxa"/>
          </w:tcPr>
          <w:p w:rsidR="009D2977" w:rsidRPr="0073484A" w:rsidRDefault="009D2977" w:rsidP="009047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484A">
              <w:rPr>
                <w:rFonts w:ascii="Times New Roman" w:hAnsi="Times New Roman"/>
                <w:b/>
                <w:sz w:val="16"/>
                <w:szCs w:val="16"/>
              </w:rPr>
              <w:t>О лицах, намеревающихся перераспределить максимальную мощность принадлежащих им энергопринимающих устройств в пользу иных лиц.</w:t>
            </w:r>
          </w:p>
        </w:tc>
        <w:tc>
          <w:tcPr>
            <w:tcW w:w="4786" w:type="dxa"/>
          </w:tcPr>
          <w:p w:rsidR="009D2977" w:rsidRPr="0073484A" w:rsidRDefault="009D2977" w:rsidP="009047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484A">
              <w:rPr>
                <w:rFonts w:ascii="Times New Roman" w:hAnsi="Times New Roman"/>
                <w:sz w:val="16"/>
                <w:szCs w:val="16"/>
              </w:rPr>
              <w:t>Лица намеревающиеся перераспределить максимальную мощность в пользу иных лиц в МУП ЖКХ «К</w:t>
            </w:r>
            <w:r w:rsidR="0073484A">
              <w:rPr>
                <w:rFonts w:ascii="Times New Roman" w:hAnsi="Times New Roman"/>
                <w:sz w:val="16"/>
                <w:szCs w:val="16"/>
              </w:rPr>
              <w:t>ЕДР</w:t>
            </w:r>
            <w:r w:rsidRPr="0073484A">
              <w:rPr>
                <w:rFonts w:ascii="Times New Roman" w:hAnsi="Times New Roman"/>
                <w:sz w:val="16"/>
                <w:szCs w:val="16"/>
              </w:rPr>
              <w:t>» отсутствуют.</w:t>
            </w:r>
          </w:p>
          <w:p w:rsidR="009D2977" w:rsidRPr="0073484A" w:rsidRDefault="009D2977" w:rsidP="009047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3410" w:rsidRPr="0073484A" w:rsidTr="0090475D">
        <w:tc>
          <w:tcPr>
            <w:tcW w:w="4785" w:type="dxa"/>
          </w:tcPr>
          <w:p w:rsidR="005D3410" w:rsidRPr="0073484A" w:rsidRDefault="005D3410" w:rsidP="009047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484A">
              <w:rPr>
                <w:rFonts w:ascii="Times New Roman" w:hAnsi="Times New Roman"/>
                <w:b/>
                <w:sz w:val="16"/>
                <w:szCs w:val="16"/>
              </w:rPr>
              <w:t>О возможности подачи заявки на осуществление технологического присоединения энергопринимающих устройств заявителей к электрическим</w:t>
            </w:r>
            <w:r w:rsidR="00843801" w:rsidRPr="0073484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3484A">
              <w:rPr>
                <w:rFonts w:ascii="Times New Roman" w:hAnsi="Times New Roman"/>
                <w:b/>
                <w:sz w:val="16"/>
                <w:szCs w:val="16"/>
              </w:rPr>
              <w:t>сетям</w:t>
            </w:r>
            <w:r w:rsidR="00843801" w:rsidRPr="0073484A">
              <w:rPr>
                <w:rFonts w:ascii="Times New Roman" w:hAnsi="Times New Roman"/>
                <w:b/>
                <w:sz w:val="16"/>
                <w:szCs w:val="16"/>
              </w:rPr>
              <w:t xml:space="preserve"> классом напряжения до 10кВвключительно посредством официального сайта сетевой организации. </w:t>
            </w:r>
            <w:r w:rsidRPr="0073484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86" w:type="dxa"/>
          </w:tcPr>
          <w:p w:rsidR="005D3410" w:rsidRPr="0073484A" w:rsidRDefault="00843801" w:rsidP="009047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484A">
              <w:rPr>
                <w:rFonts w:ascii="Times New Roman" w:hAnsi="Times New Roman"/>
                <w:sz w:val="16"/>
                <w:szCs w:val="16"/>
              </w:rPr>
              <w:t>Возможность подачи заявки на тех. присоединения</w:t>
            </w:r>
            <w:r w:rsidR="00762ED4">
              <w:rPr>
                <w:rFonts w:ascii="Times New Roman" w:hAnsi="Times New Roman"/>
                <w:sz w:val="16"/>
                <w:szCs w:val="16"/>
              </w:rPr>
              <w:t xml:space="preserve"> классом напряжения до 10 кВ по</w:t>
            </w:r>
            <w:r w:rsidRPr="0073484A">
              <w:rPr>
                <w:rFonts w:ascii="Times New Roman" w:hAnsi="Times New Roman"/>
                <w:sz w:val="16"/>
                <w:szCs w:val="16"/>
              </w:rPr>
              <w:t>средством сайта сетевой организации отсутствует.</w:t>
            </w:r>
          </w:p>
          <w:p w:rsidR="00843801" w:rsidRPr="0073484A" w:rsidRDefault="00843801" w:rsidP="00904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</w:t>
            </w:r>
          </w:p>
          <w:p w:rsidR="00843801" w:rsidRPr="0073484A" w:rsidRDefault="00843801" w:rsidP="00904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Направить заявку на технологическое присоединение заявитель может самостоятельно или через своего представителя по доверенности, любым из следующих способов:</w:t>
            </w:r>
          </w:p>
          <w:p w:rsidR="00843801" w:rsidRPr="0073484A" w:rsidRDefault="00843801" w:rsidP="00904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</w:t>
            </w:r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ym w:font="Symbol" w:char="F02D"/>
            </w:r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очно</w:t>
            </w:r>
            <w:proofErr w:type="spellEnd"/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 по адресу: п.</w:t>
            </w:r>
            <w:r w:rsidR="00C62D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Свободный</w:t>
            </w:r>
            <w:proofErr w:type="gramEnd"/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</w:t>
            </w:r>
            <w:r w:rsidR="00C62D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Свободы д.65</w:t>
            </w:r>
          </w:p>
          <w:p w:rsidR="00843801" w:rsidRPr="0073484A" w:rsidRDefault="00843801" w:rsidP="0090475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</w:t>
            </w:r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ym w:font="Symbol" w:char="F02D"/>
            </w:r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почте Российской Федерации;(624790 Свердловская обл.п.</w:t>
            </w:r>
            <w:proofErr w:type="gramEnd"/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Свободный ул</w:t>
            </w:r>
            <w:proofErr w:type="gramStart"/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вободы д.65)</w:t>
            </w:r>
          </w:p>
          <w:p w:rsidR="00843801" w:rsidRPr="0073484A" w:rsidRDefault="00843801" w:rsidP="0090475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</w:t>
            </w:r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ym w:font="Symbol" w:char="F02D"/>
            </w:r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электронной почте</w:t>
            </w:r>
            <w:proofErr w:type="gramStart"/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:</w:t>
            </w:r>
            <w:proofErr w:type="spellStart"/>
            <w:proofErr w:type="gramEnd"/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kedr-energo@</w:t>
            </w:r>
            <w:r w:rsidRPr="0073484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7348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3484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843801" w:rsidRPr="0073484A" w:rsidRDefault="00843801" w:rsidP="009047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3410" w:rsidRPr="0073484A" w:rsidTr="0090475D">
        <w:tc>
          <w:tcPr>
            <w:tcW w:w="4785" w:type="dxa"/>
          </w:tcPr>
          <w:p w:rsidR="005D3410" w:rsidRPr="0073484A" w:rsidRDefault="00843801" w:rsidP="009047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484A">
              <w:rPr>
                <w:rFonts w:ascii="Times New Roman" w:hAnsi="Times New Roman"/>
                <w:b/>
                <w:sz w:val="16"/>
                <w:szCs w:val="16"/>
              </w:rPr>
              <w:t>О расходах, связанных с осуществлением технологического присоединения, не включаемых в плату за технологическое присоединение</w:t>
            </w:r>
            <w:r w:rsidR="000509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004D8" w:rsidRPr="0073484A">
              <w:rPr>
                <w:rFonts w:ascii="Times New Roman" w:hAnsi="Times New Roman"/>
                <w:b/>
                <w:sz w:val="16"/>
                <w:szCs w:val="16"/>
              </w:rPr>
              <w:t>(и подлежащих учет</w:t>
            </w:r>
            <w:proofErr w:type="gramStart"/>
            <w:r w:rsidR="007004D8" w:rsidRPr="0073484A">
              <w:rPr>
                <w:rFonts w:ascii="Times New Roman" w:hAnsi="Times New Roman"/>
                <w:b/>
                <w:sz w:val="16"/>
                <w:szCs w:val="16"/>
              </w:rPr>
              <w:t>у(</w:t>
            </w:r>
            <w:proofErr w:type="gramEnd"/>
            <w:r w:rsidR="009E3547" w:rsidRPr="0073484A">
              <w:rPr>
                <w:rFonts w:ascii="Times New Roman" w:hAnsi="Times New Roman"/>
                <w:b/>
                <w:sz w:val="16"/>
                <w:szCs w:val="16"/>
              </w:rPr>
              <w:t>учтенных) в тарифах на услуги по передаче электрической энергии),с указанием источника официального опубликования решения регулирующих органов об установлении тарифов, содержащего информацию о размере таких расходов.</w:t>
            </w:r>
          </w:p>
        </w:tc>
        <w:tc>
          <w:tcPr>
            <w:tcW w:w="4786" w:type="dxa"/>
          </w:tcPr>
          <w:p w:rsidR="005D3410" w:rsidRPr="0073484A" w:rsidRDefault="009E3547" w:rsidP="009047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484A">
              <w:rPr>
                <w:rFonts w:ascii="Times New Roman" w:hAnsi="Times New Roman"/>
                <w:sz w:val="16"/>
                <w:szCs w:val="16"/>
              </w:rPr>
              <w:t>Нет указанных расходов</w:t>
            </w:r>
          </w:p>
        </w:tc>
      </w:tr>
      <w:tr w:rsidR="005D3410" w:rsidRPr="0073484A" w:rsidTr="0090475D">
        <w:tc>
          <w:tcPr>
            <w:tcW w:w="4785" w:type="dxa"/>
          </w:tcPr>
          <w:p w:rsidR="005D3410" w:rsidRPr="0073484A" w:rsidRDefault="009E3547" w:rsidP="009047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484A">
              <w:rPr>
                <w:rFonts w:ascii="Times New Roman" w:hAnsi="Times New Roman"/>
                <w:b/>
                <w:sz w:val="16"/>
                <w:szCs w:val="16"/>
              </w:rPr>
              <w:t xml:space="preserve"> Об объеме и стоимости электрической энерги</w:t>
            </w:r>
            <w:proofErr w:type="gramStart"/>
            <w:r w:rsidRPr="0073484A">
              <w:rPr>
                <w:rFonts w:ascii="Times New Roman" w:hAnsi="Times New Roman"/>
                <w:b/>
                <w:sz w:val="16"/>
                <w:szCs w:val="16"/>
              </w:rPr>
              <w:t>и(</w:t>
            </w:r>
            <w:proofErr w:type="gramEnd"/>
            <w:r w:rsidRPr="0073484A">
              <w:rPr>
                <w:rFonts w:ascii="Times New Roman" w:hAnsi="Times New Roman"/>
                <w:b/>
                <w:sz w:val="16"/>
                <w:szCs w:val="16"/>
              </w:rPr>
              <w:t xml:space="preserve">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 функционирующих на основе использования возобновляемых источников энергии ,объемы которой подтверждены сертификатом, выданным </w:t>
            </w:r>
            <w:r w:rsidR="009D2977" w:rsidRPr="0073484A">
              <w:rPr>
                <w:rFonts w:ascii="Times New Roman" w:hAnsi="Times New Roman"/>
                <w:b/>
                <w:sz w:val="16"/>
                <w:szCs w:val="16"/>
              </w:rPr>
              <w:t>советом рынка,</w:t>
            </w:r>
            <w:r w:rsidR="0073484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D2977" w:rsidRPr="0073484A">
              <w:rPr>
                <w:rFonts w:ascii="Times New Roman" w:hAnsi="Times New Roman"/>
                <w:b/>
                <w:sz w:val="16"/>
                <w:szCs w:val="16"/>
              </w:rPr>
              <w:t>с указанием наименования такого производителя.</w:t>
            </w:r>
          </w:p>
        </w:tc>
        <w:tc>
          <w:tcPr>
            <w:tcW w:w="4786" w:type="dxa"/>
          </w:tcPr>
          <w:p w:rsidR="005D3410" w:rsidRPr="0073484A" w:rsidRDefault="009D2977" w:rsidP="009047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484A">
              <w:rPr>
                <w:rFonts w:ascii="Times New Roman" w:hAnsi="Times New Roman"/>
                <w:sz w:val="16"/>
                <w:szCs w:val="16"/>
              </w:rPr>
              <w:t>Нет заключенных договоров</w:t>
            </w:r>
          </w:p>
        </w:tc>
      </w:tr>
    </w:tbl>
    <w:p w:rsidR="0073484A" w:rsidRDefault="0073484A" w:rsidP="0073484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</w:rPr>
      </w:pPr>
    </w:p>
    <w:p w:rsidR="00EA2996" w:rsidRPr="00EA2996" w:rsidRDefault="00EA2996" w:rsidP="0073484A">
      <w:pPr>
        <w:pStyle w:val="a3"/>
        <w:shd w:val="clear" w:color="auto" w:fill="FFFFFF"/>
        <w:spacing w:after="0" w:line="240" w:lineRule="auto"/>
        <w:ind w:left="0"/>
        <w:jc w:val="center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МУП ЖКХ «К</w:t>
      </w:r>
      <w:r w:rsidR="007348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ЕДР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EA29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осуществляет:</w:t>
      </w:r>
    </w:p>
    <w:p w:rsidR="00EA2996" w:rsidRPr="00076C62" w:rsidRDefault="00EA2996" w:rsidP="00076C62">
      <w:pPr>
        <w:shd w:val="clear" w:color="auto" w:fill="FFFFFF"/>
        <w:spacing w:after="0" w:line="240" w:lineRule="auto"/>
        <w:ind w:left="360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Прием </w:t>
      </w:r>
      <w:hyperlink r:id="rId5" w:tgtFrame="_parent" w:history="1">
        <w:proofErr w:type="gramStart"/>
        <w:r w:rsidRPr="00076C62">
          <w:rPr>
            <w:rFonts w:ascii="Times New Roman" w:eastAsia="Times New Roman" w:hAnsi="Times New Roman"/>
            <w:color w:val="A24213"/>
            <w:sz w:val="24"/>
            <w:szCs w:val="24"/>
            <w:u w:val="single"/>
            <w:lang w:eastAsia="ru-RU"/>
          </w:rPr>
          <w:t>актов снятия показаний расчетных приборов учета электрической энергии</w:t>
        </w:r>
        <w:proofErr w:type="gramEnd"/>
      </w:hyperlink>
      <w:r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потребителей, присоединенных к ее электрическим сетям. </w:t>
      </w:r>
    </w:p>
    <w:p w:rsidR="00EA2996" w:rsidRPr="00076C62" w:rsidRDefault="00EA2996" w:rsidP="00076C62">
      <w:pPr>
        <w:shd w:val="clear" w:color="auto" w:fill="FFFFFF"/>
        <w:spacing w:after="0" w:line="240" w:lineRule="auto"/>
        <w:ind w:left="360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</w:t>
      </w:r>
      <w:hyperlink r:id="rId6" w:history="1">
        <w:r w:rsidRPr="00076C62">
          <w:rPr>
            <w:rFonts w:ascii="Times New Roman" w:eastAsia="Times New Roman" w:hAnsi="Times New Roman"/>
            <w:color w:val="A24213"/>
            <w:sz w:val="24"/>
            <w:szCs w:val="24"/>
            <w:u w:val="single"/>
            <w:lang w:eastAsia="ru-RU"/>
          </w:rPr>
          <w:t>Прием осуществляется</w:t>
        </w:r>
      </w:hyperlink>
      <w:r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соответствии с договорами заключенными между потребителем и </w:t>
      </w:r>
      <w:r w:rsidR="00076C62"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гарантирующим</w:t>
      </w:r>
      <w:r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поставщиком (</w:t>
      </w:r>
      <w:r w:rsidR="00076C62"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 </w:t>
      </w:r>
      <w:proofErr w:type="spellStart"/>
      <w:r w:rsidR="00076C62"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ЭнергосбыТ</w:t>
      </w:r>
      <w:proofErr w:type="spellEnd"/>
      <w:r w:rsidR="00076C62"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Плюс</w:t>
      </w:r>
      <w:r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 </w:t>
      </w:r>
    </w:p>
    <w:p w:rsidR="00EA2996" w:rsidRPr="00076C62" w:rsidRDefault="00EA2996" w:rsidP="00076C62">
      <w:pPr>
        <w:shd w:val="clear" w:color="auto" w:fill="FFFFFF"/>
        <w:spacing w:after="0" w:line="240" w:lineRule="auto"/>
        <w:ind w:left="360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Введение ограничения режима потребления электрической энергии потребителям по заявке </w:t>
      </w:r>
      <w:r w:rsidR="00076C62"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гарантирующего</w:t>
      </w:r>
      <w:r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поставщика (</w:t>
      </w:r>
      <w:r w:rsidR="00076C62"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 </w:t>
      </w:r>
      <w:proofErr w:type="spellStart"/>
      <w:r w:rsidR="00076C62"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ЭнергосбыТ</w:t>
      </w:r>
      <w:proofErr w:type="spellEnd"/>
      <w:r w:rsidR="00076C62"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Плюс</w:t>
      </w:r>
      <w:proofErr w:type="gramStart"/>
      <w:r w:rsidR="00076C62"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  <w:r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2996" w:rsidRPr="00076C62" w:rsidRDefault="00EA2996" w:rsidP="00076C62">
      <w:pPr>
        <w:shd w:val="clear" w:color="auto" w:fill="FFFFFF"/>
        <w:spacing w:after="0" w:line="240" w:lineRule="auto"/>
        <w:ind w:left="360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Восстановления нормального режима потребления электрической энергии потребителям по заявке </w:t>
      </w:r>
      <w:r w:rsidR="00076C62"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гарантирующего</w:t>
      </w:r>
      <w:r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поставщика (</w:t>
      </w:r>
      <w:r w:rsidR="00076C62"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 </w:t>
      </w:r>
      <w:proofErr w:type="spellStart"/>
      <w:r w:rsidR="00076C62"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ЭнергосбыТ</w:t>
      </w:r>
      <w:proofErr w:type="spellEnd"/>
      <w:r w:rsidR="00076C62"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Плюс</w:t>
      </w:r>
      <w:r w:rsidR="00B2239B"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076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отмены ограничения режима потребления электрической энергии.</w:t>
      </w:r>
    </w:p>
    <w:p w:rsidR="00EA2996" w:rsidRPr="00076C62" w:rsidRDefault="00076C62" w:rsidP="00076C62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0"/>
          <w:szCs w:val="1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EA2996" w:rsidRDefault="00EA2996" w:rsidP="00EA2996"/>
    <w:p w:rsidR="0073484A" w:rsidRPr="00CB3709" w:rsidRDefault="0073484A" w:rsidP="0073484A">
      <w:pPr>
        <w:jc w:val="right"/>
        <w:rPr>
          <w:rFonts w:ascii="Times New Roman" w:hAnsi="Times New Roman"/>
          <w:b/>
          <w:sz w:val="24"/>
          <w:szCs w:val="24"/>
        </w:rPr>
      </w:pPr>
      <w:r w:rsidRPr="00CB3709">
        <w:rPr>
          <w:rFonts w:ascii="Times New Roman" w:hAnsi="Times New Roman"/>
          <w:b/>
          <w:sz w:val="24"/>
          <w:szCs w:val="24"/>
        </w:rPr>
        <w:t>АДМИНИСТРАЦИЯ МУП ЖКХ «КЕДР»</w:t>
      </w:r>
    </w:p>
    <w:p w:rsidR="00EA2996" w:rsidRDefault="00EA2996" w:rsidP="0073484A">
      <w:pPr>
        <w:jc w:val="right"/>
      </w:pPr>
    </w:p>
    <w:sectPr w:rsidR="00EA2996" w:rsidSect="0073484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3DC3"/>
    <w:multiLevelType w:val="hybridMultilevel"/>
    <w:tmpl w:val="3D84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defaultTabStop w:val="708"/>
  <w:characterSpacingControl w:val="doNotCompress"/>
  <w:compat/>
  <w:rsids>
    <w:rsidRoot w:val="0018236E"/>
    <w:rsid w:val="00050969"/>
    <w:rsid w:val="00076C62"/>
    <w:rsid w:val="000F4436"/>
    <w:rsid w:val="00115D48"/>
    <w:rsid w:val="0018236E"/>
    <w:rsid w:val="00190F18"/>
    <w:rsid w:val="001B75CC"/>
    <w:rsid w:val="002178AD"/>
    <w:rsid w:val="00254ABD"/>
    <w:rsid w:val="002C48F3"/>
    <w:rsid w:val="002F69EB"/>
    <w:rsid w:val="00424648"/>
    <w:rsid w:val="00460CC5"/>
    <w:rsid w:val="004F4789"/>
    <w:rsid w:val="004F4FE9"/>
    <w:rsid w:val="005159C4"/>
    <w:rsid w:val="00520731"/>
    <w:rsid w:val="005266AA"/>
    <w:rsid w:val="00533166"/>
    <w:rsid w:val="005477C3"/>
    <w:rsid w:val="005564C4"/>
    <w:rsid w:val="005B3472"/>
    <w:rsid w:val="005D3410"/>
    <w:rsid w:val="005E32AB"/>
    <w:rsid w:val="005F5FB8"/>
    <w:rsid w:val="006001A6"/>
    <w:rsid w:val="006035C1"/>
    <w:rsid w:val="0060569F"/>
    <w:rsid w:val="006402B9"/>
    <w:rsid w:val="00652E80"/>
    <w:rsid w:val="006B77B7"/>
    <w:rsid w:val="006F07FB"/>
    <w:rsid w:val="007004D8"/>
    <w:rsid w:val="0073484A"/>
    <w:rsid w:val="00762ED4"/>
    <w:rsid w:val="00775A00"/>
    <w:rsid w:val="007C221A"/>
    <w:rsid w:val="00843801"/>
    <w:rsid w:val="00855A82"/>
    <w:rsid w:val="00882D82"/>
    <w:rsid w:val="008A5044"/>
    <w:rsid w:val="008D2455"/>
    <w:rsid w:val="008F784C"/>
    <w:rsid w:val="0090475D"/>
    <w:rsid w:val="009118DD"/>
    <w:rsid w:val="009218CE"/>
    <w:rsid w:val="00931D6C"/>
    <w:rsid w:val="00941515"/>
    <w:rsid w:val="009617D5"/>
    <w:rsid w:val="009962DE"/>
    <w:rsid w:val="009D2977"/>
    <w:rsid w:val="009E1CFA"/>
    <w:rsid w:val="009E3547"/>
    <w:rsid w:val="00A070BF"/>
    <w:rsid w:val="00A10E33"/>
    <w:rsid w:val="00A570D7"/>
    <w:rsid w:val="00A650E3"/>
    <w:rsid w:val="00AA0135"/>
    <w:rsid w:val="00AB411B"/>
    <w:rsid w:val="00AC5B52"/>
    <w:rsid w:val="00AD4F95"/>
    <w:rsid w:val="00B14BEE"/>
    <w:rsid w:val="00B14E77"/>
    <w:rsid w:val="00B2239B"/>
    <w:rsid w:val="00B33AB0"/>
    <w:rsid w:val="00B6131E"/>
    <w:rsid w:val="00B63CAF"/>
    <w:rsid w:val="00B80AA0"/>
    <w:rsid w:val="00BB0CB1"/>
    <w:rsid w:val="00BE6156"/>
    <w:rsid w:val="00C34A85"/>
    <w:rsid w:val="00C574A8"/>
    <w:rsid w:val="00C62DBE"/>
    <w:rsid w:val="00C631EF"/>
    <w:rsid w:val="00C65759"/>
    <w:rsid w:val="00C723F3"/>
    <w:rsid w:val="00D46494"/>
    <w:rsid w:val="00DC4723"/>
    <w:rsid w:val="00DD61BC"/>
    <w:rsid w:val="00DE772A"/>
    <w:rsid w:val="00E43E93"/>
    <w:rsid w:val="00E55C7C"/>
    <w:rsid w:val="00E7509E"/>
    <w:rsid w:val="00E84305"/>
    <w:rsid w:val="00EA2996"/>
    <w:rsid w:val="00EA5B56"/>
    <w:rsid w:val="00EB2A8D"/>
    <w:rsid w:val="00EC4D4F"/>
    <w:rsid w:val="00F37A8F"/>
    <w:rsid w:val="00F71552"/>
    <w:rsid w:val="00FD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B0"/>
    <w:pPr>
      <w:ind w:left="720"/>
      <w:contextualSpacing/>
    </w:pPr>
  </w:style>
  <w:style w:type="character" w:customStyle="1" w:styleId="apple-converted-space">
    <w:name w:val="apple-converted-space"/>
    <w:basedOn w:val="a0"/>
    <w:rsid w:val="00EA2996"/>
  </w:style>
  <w:style w:type="character" w:styleId="a4">
    <w:name w:val="Hyperlink"/>
    <w:basedOn w:val="a0"/>
    <w:uiPriority w:val="99"/>
    <w:semiHidden/>
    <w:unhideWhenUsed/>
    <w:rsid w:val="00EA2996"/>
    <w:rPr>
      <w:color w:val="0000FF"/>
      <w:u w:val="single"/>
    </w:rPr>
  </w:style>
  <w:style w:type="table" w:styleId="a5">
    <w:name w:val="Table Grid"/>
    <w:basedOn w:val="a1"/>
    <w:uiPriority w:val="59"/>
    <w:rsid w:val="005D3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u110a.ucoz.ru/index/ofisy_obsluzhivanija_potrebitelej/0-40" TargetMode="External"/><Relationship Id="rId5" Type="http://schemas.openxmlformats.org/officeDocument/2006/relationships/hyperlink" Target="http://geu110a.ucoz.ru/forma_akta_snjatija_pokazanij_raschetnykh_priborov.xl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72;&#1085;&#1085;&#1099;&#1077;\Yra\&#1069;&#1061;%20&#1074;%20&#1044;\&#1069;&#1051;&#1045;&#1050;&#1058;&#1056;&#1054;&#1061;&#1054;&#1047;&#1071;&#1049;&#1057;&#1058;&#1042;&#1054;\&#1045;&#1046;&#1045;&#1052;&#1045;&#1057;&#1071;&#1063;&#1053;&#1067;&#1045;%20&#1054;&#1058;&#1063;&#1045;&#1058;&#1067;\&#1054;&#1058;&#1063;&#1045;&#1058;&#1067;%202019\&#1086;&#1090;&#1095;&#1077;&#1090;&#1099;%20&#1076;&#1086;%2010%20&#1087;&#1086;%20&#1088;&#1072;&#1089;&#1082;&#1088;&#1099;&#1090;.&#1080;&#1085;&#1092;&#1086;\2018\&#1077;&#1078;&#1077;&#1084;&#1077;&#1089;&#1103;&#1095;&#1085;&#1086;\&#1076;&#1077;&#1082;&#1072;&#1073;&#1088;&#1100;%2018%20&#1088;&#1072;&#1089;&#1082;&#1088;&#1099;&#1090;&#1080;&#1077;%20&#1080;&#1085;&#1092;&#1086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декабрь 18 раскрытие инфо на сайт</Template>
  <TotalTime>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Links>
    <vt:vector size="12" baseType="variant"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http://geu110a.ucoz.ru/index/ofisy_obsluzhivanija_potrebitelej/0-40</vt:lpwstr>
      </vt:variant>
      <vt:variant>
        <vt:lpwstr/>
      </vt:variant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http://geu110a.ucoz.ru/forma_akta_snjatija_pokazanij_raschetnykh_priborov.xls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4</cp:revision>
  <cp:lastPrinted>2019-12-02T06:35:00Z</cp:lastPrinted>
  <dcterms:created xsi:type="dcterms:W3CDTF">2019-12-02T06:33:00Z</dcterms:created>
  <dcterms:modified xsi:type="dcterms:W3CDTF">2019-12-02T06:35:00Z</dcterms:modified>
</cp:coreProperties>
</file>